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B27B1" w14:textId="4A1D4569" w:rsidR="006E31D0" w:rsidRPr="00C93751" w:rsidRDefault="006E31D0" w:rsidP="001C6F9E">
      <w:pPr>
        <w:spacing w:line="360" w:lineRule="auto"/>
        <w:ind w:left="353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EDITAL PRÉVIO – CONTRIBUIÇÃO DE MELHORIAS Nº 001/2020 – OBRA</w:t>
      </w:r>
      <w:r w:rsidR="001D253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93751">
        <w:rPr>
          <w:rFonts w:ascii="Times New Roman" w:hAnsi="Times New Roman" w:cs="Times New Roman"/>
          <w:b/>
          <w:bCs/>
          <w:sz w:val="24"/>
          <w:szCs w:val="24"/>
        </w:rPr>
        <w:t xml:space="preserve"> DE CALÇAMENTO (PAVIMENTAÇÃO COM PEDRAS IRREGULARES DE BASALTO) DA TRAVESSA 12 (ENTRE A RUA SÃO LUIZ E ÁREA DE USO RURAL</w:t>
      </w:r>
      <w:r w:rsidR="001D253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9375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8FE8E82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E0FEE" w14:textId="2043A079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O Município de Guarani das Missões, pessoa jurídica de direito público interno, inscrita no CNPJ/MF sob nº 87.613.030/0001-51, com sede na Rua Boa Vista, Nº 265, Bairro Centro, na cidade de Guarani das Missões, RS, neste ato representado pelo Senhor Jerônimo Jaskulski, Prefeito Municipal e pelo Senhor Vilmar Person, Secretário Municipal da Fazenda, com fundamento no art. 145, inciso III, da Constituição Federal, arts. 81 e 82 do Código Tributário Nacional, Decreto-lei nº 195/67, art. 72 e seguintes da Lei Municipal nº 2.482, de 21 de dezembro de 2010 – Código Tributário Municipal e da Lei Municipal específica nº 3.004, de 25 de agosto de 2020 e demais legislações pertinentes, torna público para o conhecimento de todos, o Edital Prévio de Contribuição de Melhoria nº 001/2020, referente à</w:t>
      </w:r>
      <w:r w:rsidR="001D2537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 obra</w:t>
      </w:r>
      <w:r w:rsidR="001D2537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 de calçamento (pavimentação com pedras irregulares de basalto), a ser</w:t>
      </w:r>
      <w:r w:rsidR="001D2537">
        <w:rPr>
          <w:rFonts w:ascii="Times New Roman" w:hAnsi="Times New Roman" w:cs="Times New Roman"/>
          <w:sz w:val="24"/>
          <w:szCs w:val="24"/>
        </w:rPr>
        <w:t>em</w:t>
      </w:r>
      <w:r w:rsidRPr="00C93751">
        <w:rPr>
          <w:rFonts w:ascii="Times New Roman" w:hAnsi="Times New Roman" w:cs="Times New Roman"/>
          <w:sz w:val="24"/>
          <w:szCs w:val="24"/>
        </w:rPr>
        <w:t xml:space="preserve"> realizada</w:t>
      </w:r>
      <w:r w:rsidR="00260C4F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 na Travessa 12 (entre a Rua São Luiz e área de uso rural).</w:t>
      </w:r>
    </w:p>
    <w:p w14:paraId="28A5FD4C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F30C4D" w14:textId="77777777" w:rsidR="006E31D0" w:rsidRPr="00C93751" w:rsidRDefault="006E31D0" w:rsidP="001C6F9E">
      <w:pPr>
        <w:pStyle w:val="PargrafodaLista"/>
        <w:numPr>
          <w:ilvl w:val="0"/>
          <w:numId w:val="1"/>
        </w:numPr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DO FATO GERADOR DO TRIBUTO</w:t>
      </w:r>
    </w:p>
    <w:p w14:paraId="412BA896" w14:textId="77777777" w:rsidR="006E31D0" w:rsidRPr="00C93751" w:rsidRDefault="006E31D0" w:rsidP="001C6F9E">
      <w:pPr>
        <w:pStyle w:val="PargrafodaLista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A contribuição de melhoria é instituída para fazer face ao custo de obras públicas de que decorra valorização imobiliária, tendo como limite total a despesa realizada e como limite individual o acréscimo de valor que da obra resultar para cada imóvel beneficiado.</w:t>
      </w:r>
    </w:p>
    <w:p w14:paraId="42EF4854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69415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2. MEMORIAL DESCRITIVO DO PROJETO</w:t>
      </w:r>
    </w:p>
    <w:p w14:paraId="275BD41B" w14:textId="19B19196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2.1 O memorial descritivo serve para traçar as diretrizes da execução das obras de pavimentação, drenagem pluvial, passeios com acessibilidade e sinalização, urbanização, paisagismo e sinalização viária, a serem realizadas na Travessa 12 (entre a Rua São Luiz e área de uso rural), neste Município, que visam melhorar a mobilidade urbana no local. A qualificação desta via passará pela melhoria e conforto na condição de tráfego, mas, principalmente, na expansão da área de pedestres, dotadas de medidas de acessibilidade. O projeto compreende a execução de pavimentação com pedras irregulares de basalto (calçamento) sobre a rua não pavimentada (estrada de chão), que se encontra comprometida e inadequada à função de mobilidade e acessibilidade urbana, além de resolver os problemas de drenagem.</w:t>
      </w:r>
    </w:p>
    <w:p w14:paraId="08E4C7A2" w14:textId="797C0D5F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lastRenderedPageBreak/>
        <w:t>2.2 A íntegra do memorial descritivo e a descrição individual dos serviços constam no Anexo I, que será considerado</w:t>
      </w:r>
      <w:r w:rsidR="00260C4F">
        <w:rPr>
          <w:rFonts w:ascii="Times New Roman" w:hAnsi="Times New Roman" w:cs="Times New Roman"/>
          <w:sz w:val="24"/>
          <w:szCs w:val="24"/>
        </w:rPr>
        <w:t>,</w:t>
      </w:r>
      <w:r w:rsidRPr="00C93751">
        <w:rPr>
          <w:rFonts w:ascii="Times New Roman" w:hAnsi="Times New Roman" w:cs="Times New Roman"/>
          <w:sz w:val="24"/>
          <w:szCs w:val="24"/>
        </w:rPr>
        <w:t xml:space="preserve"> para todos os efeitos, parte integral neste Edital.</w:t>
      </w:r>
    </w:p>
    <w:p w14:paraId="4BCB51B1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9C3D9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3. ORÇAMENTO DO CUSTO DA OBRA</w:t>
      </w:r>
    </w:p>
    <w:p w14:paraId="5BAB3FC9" w14:textId="7175A28E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3.1 O orçamento do custo das obras do presente Edital está, em síntese, distribuído em conformidade com as descrições do Anexo II deste Edital, num total de R$ 26.149,62 (vinte e seis mil cento e quarenta e nove reais e sessenta e dois centavos).</w:t>
      </w:r>
    </w:p>
    <w:p w14:paraId="53BAE7B2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578429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4. DELIMITAÇÃO DA ZONA BENEFICIADA</w:t>
      </w:r>
    </w:p>
    <w:p w14:paraId="6C75F355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4.1 A contribuição será exigida dos proprietários, titulares de domínio útil ou possuidores a qualquer título de imóveis lindeiros, situados nas áreas diretamente beneficiadas pelas obras, ou seja, dos imóveis confrontantes com as ruas, que forem valorizados.</w:t>
      </w:r>
    </w:p>
    <w:p w14:paraId="0404E6F0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C3DC2" w14:textId="4F61478D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5. DETERMINAÇÃO DA PARCELA DO CUSTO DA OBRA A SER FINANCIADA PELA CONTRIBUIÇÃO DE MELHORIA E DO FATO</w:t>
      </w:r>
      <w:r w:rsidR="001D2537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C93751">
        <w:rPr>
          <w:rFonts w:ascii="Times New Roman" w:hAnsi="Times New Roman" w:cs="Times New Roman"/>
          <w:b/>
          <w:bCs/>
          <w:sz w:val="24"/>
          <w:szCs w:val="24"/>
        </w:rPr>
        <w:t xml:space="preserve"> DE ABSORÇÃO</w:t>
      </w:r>
    </w:p>
    <w:p w14:paraId="157A1AA3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5.1 Dividindo-se o custo total pela área total da obra, obtém-se o preço unitário de R$ 37,20 (trinta e sete reais e vinte centavos) por m².</w:t>
      </w:r>
    </w:p>
    <w:p w14:paraId="085CACEB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5.2 O fator de absorção do benefício em face da valorização dos imóveis para a zona de influência, será da ordem de até 75% (setenta e cinco por cento), tendo como limite máximo o custo da obra e, individualmente, o valor da efetiva valorização ocorrida no imóvel.</w:t>
      </w:r>
    </w:p>
    <w:p w14:paraId="666274B5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5.3 O Município arcará com as quotas relativas aos imóveis pertencentes ao patrimônio público ou isentos da contribuição de melhoria.</w:t>
      </w:r>
    </w:p>
    <w:p w14:paraId="6A242C94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F0807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6. FÓRMULA DO CÁLCULO DE RATEIO</w:t>
      </w:r>
    </w:p>
    <w:p w14:paraId="0973BB5B" w14:textId="6202CAB5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6.1 O fator de rateio será obtido pelo percentual máximo devido pelo custo da obra</w:t>
      </w:r>
      <w:r w:rsidR="001D2537">
        <w:rPr>
          <w:rFonts w:ascii="Times New Roman" w:hAnsi="Times New Roman" w:cs="Times New Roman"/>
          <w:sz w:val="24"/>
          <w:szCs w:val="24"/>
        </w:rPr>
        <w:t>,</w:t>
      </w:r>
      <w:r w:rsidRPr="00C93751">
        <w:rPr>
          <w:rFonts w:ascii="Times New Roman" w:hAnsi="Times New Roman" w:cs="Times New Roman"/>
          <w:sz w:val="24"/>
          <w:szCs w:val="24"/>
        </w:rPr>
        <w:t xml:space="preserve"> dividido pela área corrigida dos imóveis incluídos na respectiva zona de influência.</w:t>
      </w:r>
    </w:p>
    <w:p w14:paraId="37E7381F" w14:textId="745BE962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lastRenderedPageBreak/>
        <w:t xml:space="preserve">6.2 Fica instituído </w:t>
      </w:r>
      <w:r w:rsidR="001D2537">
        <w:rPr>
          <w:rFonts w:ascii="Times New Roman" w:hAnsi="Times New Roman" w:cs="Times New Roman"/>
          <w:sz w:val="24"/>
          <w:szCs w:val="24"/>
        </w:rPr>
        <w:t xml:space="preserve">o </w:t>
      </w:r>
      <w:r w:rsidRPr="00C93751">
        <w:rPr>
          <w:rFonts w:ascii="Times New Roman" w:hAnsi="Times New Roman" w:cs="Times New Roman"/>
          <w:sz w:val="24"/>
          <w:szCs w:val="24"/>
        </w:rPr>
        <w:t>Anexo I</w:t>
      </w:r>
      <w:r w:rsidR="00F16E11">
        <w:rPr>
          <w:rFonts w:ascii="Times New Roman" w:hAnsi="Times New Roman" w:cs="Times New Roman"/>
          <w:sz w:val="24"/>
          <w:szCs w:val="24"/>
        </w:rPr>
        <w:t>II</w:t>
      </w:r>
      <w:r w:rsidRPr="00C93751">
        <w:rPr>
          <w:rFonts w:ascii="Times New Roman" w:hAnsi="Times New Roman" w:cs="Times New Roman"/>
          <w:sz w:val="24"/>
          <w:szCs w:val="24"/>
        </w:rPr>
        <w:t xml:space="preserve"> como parte integrante deste Decreto – Planilha de Cálculo de Contribuição de Melhoria.</w:t>
      </w:r>
    </w:p>
    <w:p w14:paraId="3C60E197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B4002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7. PRAZO DE IMPUGNAÇÃO E PROCESSO ADMINISTRATIVO</w:t>
      </w:r>
    </w:p>
    <w:p w14:paraId="09938AFC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7.1 Comprovado o interesse e legitimidade (proprietário, titular do domínio útil ou possuidor a qualquer título do imóvel inserido na zona de influência), poderão ser impugnados quaisquer elementos constantes neste Edital e seus respectivos Anexos, no máximo de 30 (trinta) dias, contados de sua publicação.</w:t>
      </w:r>
    </w:p>
    <w:p w14:paraId="7C479B91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7.2 A impugnação não obstará o início ou o prosseguimento da obra ou ato necessário ao lançamento e a cobrança do tributo.</w:t>
      </w:r>
    </w:p>
    <w:p w14:paraId="62280874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7.3 A impugnação deverá ser dirigida à Administração Municipal, por meio de petição fundamentada e apresentada no Protocolo Central da Prefeitura Municipal, cabendo ao impugnante o ônus da prova de suas alegações.</w:t>
      </w:r>
    </w:p>
    <w:p w14:paraId="34D930DE" w14:textId="79D597DB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7.4 Somente serão apreciadas as impugnações considerada</w:t>
      </w:r>
      <w:r w:rsidR="001D2537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 tempestiva</w:t>
      </w:r>
      <w:r w:rsidR="001D2537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, </w:t>
      </w:r>
      <w:r w:rsidR="001D2537">
        <w:rPr>
          <w:rFonts w:ascii="Times New Roman" w:hAnsi="Times New Roman" w:cs="Times New Roman"/>
          <w:sz w:val="24"/>
          <w:szCs w:val="24"/>
        </w:rPr>
        <w:t xml:space="preserve">e </w:t>
      </w:r>
      <w:r w:rsidRPr="00C93751">
        <w:rPr>
          <w:rFonts w:ascii="Times New Roman" w:hAnsi="Times New Roman" w:cs="Times New Roman"/>
          <w:sz w:val="24"/>
          <w:szCs w:val="24"/>
        </w:rPr>
        <w:t>caberá ao Secretário Municipal da Fazenda determinar as diligências necessárias para que seja proferida decisão pelo Prefeito Municipal.</w:t>
      </w:r>
    </w:p>
    <w:p w14:paraId="0B348F9D" w14:textId="2719F471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7.5 Recebida a impugnação e considerada tempestiva, caberá ao Secretário Municipal da Fazenda determinar as diligências necessárias para que seja proferida decisão pelo Prefeito Municipal</w:t>
      </w:r>
      <w:r w:rsidR="00260C4F">
        <w:rPr>
          <w:rFonts w:ascii="Times New Roman" w:hAnsi="Times New Roman" w:cs="Times New Roman"/>
          <w:sz w:val="24"/>
          <w:szCs w:val="24"/>
        </w:rPr>
        <w:t>.</w:t>
      </w:r>
    </w:p>
    <w:p w14:paraId="7A764124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7.6 Os resultados serão publicados como “Deferido” ou “Indeferido”.</w:t>
      </w:r>
    </w:p>
    <w:p w14:paraId="25ADEA61" w14:textId="23B632BB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7.7 Uma vez julgada </w:t>
      </w:r>
      <w:r w:rsidR="001D2537">
        <w:rPr>
          <w:rFonts w:ascii="Times New Roman" w:hAnsi="Times New Roman" w:cs="Times New Roman"/>
          <w:sz w:val="24"/>
          <w:szCs w:val="24"/>
        </w:rPr>
        <w:t xml:space="preserve">a </w:t>
      </w:r>
      <w:r w:rsidRPr="00C93751">
        <w:rPr>
          <w:rFonts w:ascii="Times New Roman" w:hAnsi="Times New Roman" w:cs="Times New Roman"/>
          <w:sz w:val="24"/>
          <w:szCs w:val="24"/>
        </w:rPr>
        <w:t>impugnação, não será admitido qualquer pedido de revisão da decisão.</w:t>
      </w:r>
    </w:p>
    <w:p w14:paraId="1C055F16" w14:textId="29C36181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7.8 Julgadas as impugnações eventualmente </w:t>
      </w:r>
      <w:r w:rsidR="001D2537">
        <w:rPr>
          <w:rFonts w:ascii="Times New Roman" w:hAnsi="Times New Roman" w:cs="Times New Roman"/>
          <w:sz w:val="24"/>
          <w:szCs w:val="24"/>
        </w:rPr>
        <w:t>interp</w:t>
      </w:r>
      <w:r w:rsidRPr="00C93751">
        <w:rPr>
          <w:rFonts w:ascii="Times New Roman" w:hAnsi="Times New Roman" w:cs="Times New Roman"/>
          <w:sz w:val="24"/>
          <w:szCs w:val="24"/>
        </w:rPr>
        <w:t>ostas em face deste Edital</w:t>
      </w:r>
      <w:r w:rsidR="00260C4F">
        <w:rPr>
          <w:rFonts w:ascii="Times New Roman" w:hAnsi="Times New Roman" w:cs="Times New Roman"/>
          <w:sz w:val="24"/>
          <w:szCs w:val="24"/>
        </w:rPr>
        <w:t>,</w:t>
      </w:r>
      <w:r w:rsidRPr="00C93751">
        <w:rPr>
          <w:rFonts w:ascii="Times New Roman" w:hAnsi="Times New Roman" w:cs="Times New Roman"/>
          <w:sz w:val="24"/>
          <w:szCs w:val="24"/>
        </w:rPr>
        <w:t xml:space="preserve"> lavrar-se-á sua homologação.</w:t>
      </w:r>
    </w:p>
    <w:p w14:paraId="151D8C49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B9653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8. DA FORMA DE PAGAMENTO</w:t>
      </w:r>
    </w:p>
    <w:p w14:paraId="50E2C4C5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8.1 O pagamento da Contribuição de Melhoria será efetuado contado da data em que o Contribuinte tiver ciência do lançamento, observadas as seguintes condições:</w:t>
      </w:r>
    </w:p>
    <w:p w14:paraId="26A39282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a) pagamento em cota única, com desconto de 20% (vinte por cento);</w:t>
      </w:r>
    </w:p>
    <w:p w14:paraId="6C385001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b) pagamento em nº de até 6 (seis) parcelas, com desconto de 10% (dez por cento);</w:t>
      </w:r>
    </w:p>
    <w:p w14:paraId="47621AD8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lastRenderedPageBreak/>
        <w:t>c) pagamento em nº de até 48 (quarenta e oito) parcelas.</w:t>
      </w:r>
    </w:p>
    <w:p w14:paraId="19AC9A47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8.2 No parcelamento, o valor mínimo de cada parcela não poderá ser inferior a R$ 50,00 (cinquenta reais).</w:t>
      </w:r>
    </w:p>
    <w:p w14:paraId="0DA7460D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8.3 No parcelamento, será aplicado, em caso de atraso, juros de 1% (um por cento) ao mês e multa de 2% (dois por cento) sobre o valor da parcela.</w:t>
      </w:r>
    </w:p>
    <w:p w14:paraId="6537134C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8.4 Na eventualidade das parcelas ultrapassarem o ano em exercício, haverá incidência de correção monetária sobre as parcelas.</w:t>
      </w:r>
    </w:p>
    <w:p w14:paraId="0CEC3BC1" w14:textId="13B5A81B" w:rsidR="006E31D0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8.5 Fica instituído como parte integrante deste Edital o Anexo </w:t>
      </w:r>
      <w:r w:rsidR="00F16E11">
        <w:rPr>
          <w:rFonts w:ascii="Times New Roman" w:hAnsi="Times New Roman" w:cs="Times New Roman"/>
          <w:sz w:val="24"/>
          <w:szCs w:val="24"/>
        </w:rPr>
        <w:t>I</w:t>
      </w:r>
      <w:r w:rsidRPr="00C93751">
        <w:rPr>
          <w:rFonts w:ascii="Times New Roman" w:hAnsi="Times New Roman" w:cs="Times New Roman"/>
          <w:sz w:val="24"/>
          <w:szCs w:val="24"/>
        </w:rPr>
        <w:t>V – Declaração de Opção de pagamento da Contribuição de Melhoria.</w:t>
      </w:r>
    </w:p>
    <w:p w14:paraId="33C0EF09" w14:textId="77777777" w:rsidR="00866A28" w:rsidRPr="00C93751" w:rsidRDefault="00866A28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D193A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9. DISPOSIÇÕES FINAIS</w:t>
      </w:r>
    </w:p>
    <w:p w14:paraId="3A7DB62A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9.1 Após a conclusão da obra, será publicado novo Edital para efetiva cobrança da Contribuição de Melhoria.</w:t>
      </w:r>
    </w:p>
    <w:p w14:paraId="292B60EE" w14:textId="77777777" w:rsidR="001C6F9E" w:rsidRPr="00C93751" w:rsidRDefault="001C6F9E" w:rsidP="001C6F9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C238E9" w14:textId="51AB06A9" w:rsidR="006E31D0" w:rsidRPr="00C93751" w:rsidRDefault="006E31D0" w:rsidP="001C6F9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Guarani das Missões, 28 de agosto de 2020.</w:t>
      </w:r>
    </w:p>
    <w:p w14:paraId="353F8AA2" w14:textId="77777777" w:rsidR="001D2537" w:rsidRDefault="001D2537" w:rsidP="001C6F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551E13" w14:textId="77777777" w:rsidR="001D2537" w:rsidRDefault="001D2537" w:rsidP="001C6F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0DF957" w14:textId="61B62923" w:rsidR="006E31D0" w:rsidRPr="00C93751" w:rsidRDefault="006E31D0" w:rsidP="001C6F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C236F60" w14:textId="77777777" w:rsidR="006E31D0" w:rsidRPr="00C93751" w:rsidRDefault="006E31D0" w:rsidP="001C6F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JERÔNIMO JASKULSKI</w:t>
      </w:r>
    </w:p>
    <w:p w14:paraId="66747783" w14:textId="77777777" w:rsidR="006E31D0" w:rsidRPr="00C93751" w:rsidRDefault="006E31D0" w:rsidP="001C6F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Prefeito Municipal</w:t>
      </w:r>
    </w:p>
    <w:p w14:paraId="1D19BAED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24E3DF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546D0AE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VILMAR PERSON</w:t>
      </w:r>
    </w:p>
    <w:p w14:paraId="48C087FD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Secretário Municipal da Fazenda</w:t>
      </w:r>
    </w:p>
    <w:p w14:paraId="1D2DDA84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24B91F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8D8563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42DD5D" w14:textId="0B9F0164" w:rsidR="006E31D0" w:rsidRDefault="001C6F9E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ANEXOS</w:t>
      </w:r>
    </w:p>
    <w:p w14:paraId="6E0519FD" w14:textId="54C2F5BF" w:rsidR="00866A28" w:rsidRDefault="00866A28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A7D86" w14:textId="77777777" w:rsidR="00866A28" w:rsidRPr="00C93751" w:rsidRDefault="00866A28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2ADE0" w14:textId="2F9B20AE" w:rsidR="001C6F9E" w:rsidRPr="00C93751" w:rsidRDefault="001C6F9E" w:rsidP="006E31D0">
      <w:pPr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I – Memorial descritivo e descrição individual dos serviços</w:t>
      </w:r>
    </w:p>
    <w:p w14:paraId="7AF0BB37" w14:textId="29F3FA8D" w:rsidR="001C6F9E" w:rsidRPr="00C93751" w:rsidRDefault="001C6F9E" w:rsidP="006E31D0">
      <w:pPr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II – </w:t>
      </w:r>
      <w:bookmarkStart w:id="0" w:name="_Hlk49757399"/>
      <w:r w:rsidRPr="00C93751">
        <w:rPr>
          <w:rFonts w:ascii="Times New Roman" w:hAnsi="Times New Roman" w:cs="Times New Roman"/>
          <w:sz w:val="24"/>
          <w:szCs w:val="24"/>
        </w:rPr>
        <w:t>Orçamento do custo da obra</w:t>
      </w:r>
      <w:bookmarkEnd w:id="0"/>
    </w:p>
    <w:p w14:paraId="315E0ACB" w14:textId="37A2FD16" w:rsidR="001C6F9E" w:rsidRPr="00C93751" w:rsidRDefault="001C6F9E" w:rsidP="006E31D0">
      <w:pPr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III – Planilha de Cálculo de Contribuição de Melhoria</w:t>
      </w:r>
    </w:p>
    <w:p w14:paraId="0C5E02C9" w14:textId="3FAC7521" w:rsidR="001C6F9E" w:rsidRPr="00C93751" w:rsidRDefault="00F16E11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1C6F9E" w:rsidRPr="00C93751">
        <w:rPr>
          <w:rFonts w:ascii="Times New Roman" w:hAnsi="Times New Roman" w:cs="Times New Roman"/>
          <w:sz w:val="24"/>
          <w:szCs w:val="24"/>
        </w:rPr>
        <w:t>V – Declaração de Opção de pagamento d</w:t>
      </w:r>
      <w:r w:rsidR="003A583C">
        <w:rPr>
          <w:rFonts w:ascii="Times New Roman" w:hAnsi="Times New Roman" w:cs="Times New Roman"/>
          <w:sz w:val="24"/>
          <w:szCs w:val="24"/>
        </w:rPr>
        <w:t>e</w:t>
      </w:r>
      <w:r w:rsidR="001C6F9E" w:rsidRPr="00C93751">
        <w:rPr>
          <w:rFonts w:ascii="Times New Roman" w:hAnsi="Times New Roman" w:cs="Times New Roman"/>
          <w:sz w:val="24"/>
          <w:szCs w:val="24"/>
        </w:rPr>
        <w:t xml:space="preserve"> Contribuição de Melhoria.</w:t>
      </w:r>
    </w:p>
    <w:p w14:paraId="61330DAD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A09E54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6FFB6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ECEB6B" w14:textId="77777777" w:rsidR="006E31D0" w:rsidRPr="00C93751" w:rsidRDefault="006E31D0" w:rsidP="006E31D0">
      <w:pPr>
        <w:rPr>
          <w:rFonts w:ascii="Times New Roman" w:hAnsi="Times New Roman" w:cs="Times New Roman"/>
          <w:sz w:val="24"/>
          <w:szCs w:val="24"/>
        </w:rPr>
      </w:pPr>
    </w:p>
    <w:p w14:paraId="24398B85" w14:textId="09A5A5C2" w:rsidR="00F146C3" w:rsidRDefault="00F146C3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D4A8DE" w14:textId="235F18A1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409303" w14:textId="5254883F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FBAE88" w14:textId="4563627C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C6090A" w14:textId="18557DE1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AF1E3" w14:textId="5EAE6070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B693C2" w14:textId="114F68F9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7AD6B9" w14:textId="398C4EE0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BAAEC8" w14:textId="52D00C77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7B1AF5" w14:textId="17C5E7CC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5A38D4" w14:textId="0642EDF1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EF09F" w14:textId="6251D4D5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5EDDBF" w14:textId="6A6DD794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437E3" w14:textId="3E10C141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D2A086" w14:textId="6264FA36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DFD909" w14:textId="7220B4E6" w:rsidR="00C93751" w:rsidRPr="003A583C" w:rsidRDefault="003A583C" w:rsidP="003A58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583C">
        <w:rPr>
          <w:rFonts w:ascii="Times New Roman" w:hAnsi="Times New Roman" w:cs="Times New Roman"/>
          <w:b/>
          <w:bCs/>
          <w:sz w:val="24"/>
          <w:szCs w:val="24"/>
        </w:rPr>
        <w:t>Anexo IV – Declaração de Opção de Pagamento de Contribuição de Melhoria</w:t>
      </w:r>
    </w:p>
    <w:p w14:paraId="6B54853F" w14:textId="2488AF49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EEEC7" w14:textId="19FE537F" w:rsidR="00C93751" w:rsidRDefault="00C93751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DECLARAÇÃO DE OPÇÃO</w:t>
      </w:r>
    </w:p>
    <w:p w14:paraId="4CD5E502" w14:textId="77777777" w:rsidR="00C93751" w:rsidRPr="00C93751" w:rsidRDefault="00C93751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2B1FD9" w14:textId="40DA5EB5" w:rsidR="00C93751" w:rsidRDefault="00C93751" w:rsidP="00C9375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______________________________, DECLARO, para os devidos fins, que decidi pela opção___________, para pagamento/recolhimento da Contribuição de Melhoria objeto da proposta referente ao Edital nº______, em _______ parcelas.</w:t>
      </w:r>
    </w:p>
    <w:p w14:paraId="6FDA8948" w14:textId="5604506A" w:rsidR="00C93751" w:rsidRPr="00C93751" w:rsidRDefault="00C93751" w:rsidP="00C9375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CONCORDO/ESTOU CIENTE de que, no pagamento parcelado, </w:t>
      </w:r>
      <w:r w:rsidRPr="00C93751">
        <w:rPr>
          <w:rFonts w:ascii="Times New Roman" w:hAnsi="Times New Roman" w:cs="Times New Roman"/>
          <w:sz w:val="24"/>
          <w:szCs w:val="24"/>
        </w:rPr>
        <w:t>será aplicado, em caso de atraso, juros de 1% (um por cento) ao mês e multa de 2% (dois por cento) sobre o valor da parcela</w:t>
      </w:r>
      <w:r>
        <w:rPr>
          <w:rFonts w:ascii="Times New Roman" w:hAnsi="Times New Roman" w:cs="Times New Roman"/>
          <w:sz w:val="24"/>
          <w:szCs w:val="24"/>
        </w:rPr>
        <w:t>, e que n</w:t>
      </w:r>
      <w:r w:rsidRPr="00C93751">
        <w:rPr>
          <w:rFonts w:ascii="Times New Roman" w:hAnsi="Times New Roman" w:cs="Times New Roman"/>
          <w:sz w:val="24"/>
          <w:szCs w:val="24"/>
        </w:rPr>
        <w:t>a eventualidade das parcelas ultrapassarem o ano em exercício, haverá incidência de correção monetária sobre as parcelas.</w:t>
      </w:r>
    </w:p>
    <w:p w14:paraId="759E115D" w14:textId="44BF6E92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019FA4" w14:textId="7C565727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5A67AF" w14:textId="4EC2C905" w:rsidR="00C93751" w:rsidRDefault="00C93751" w:rsidP="00C937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Guarani das Missões-RS, ____ de ____________de________.</w:t>
      </w:r>
    </w:p>
    <w:p w14:paraId="21A6A088" w14:textId="14701974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8D267F" w14:textId="77777777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17E0C" w14:textId="59E9C2F4" w:rsidR="00C93751" w:rsidRDefault="00C93751" w:rsidP="00C937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77E8F915" w14:textId="0ABDEC58" w:rsidR="00C93751" w:rsidRPr="00C93751" w:rsidRDefault="00C93751" w:rsidP="00C937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Contribuinte/Responsável</w:t>
      </w:r>
    </w:p>
    <w:sectPr w:rsidR="00C93751" w:rsidRPr="00C93751" w:rsidSect="0090122A">
      <w:headerReference w:type="default" r:id="rId8"/>
      <w:footerReference w:type="default" r:id="rId9"/>
      <w:pgSz w:w="11906" w:h="16838"/>
      <w:pgMar w:top="720" w:right="720" w:bottom="720" w:left="720" w:header="142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ACB73" w14:textId="77777777" w:rsidR="007E3683" w:rsidRDefault="007E3683" w:rsidP="00F914C8">
      <w:pPr>
        <w:spacing w:after="0" w:line="240" w:lineRule="auto"/>
      </w:pPr>
      <w:r>
        <w:separator/>
      </w:r>
    </w:p>
  </w:endnote>
  <w:endnote w:type="continuationSeparator" w:id="0">
    <w:p w14:paraId="04CF77A3" w14:textId="77777777" w:rsidR="007E3683" w:rsidRDefault="007E3683" w:rsidP="00F91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047F4" w14:textId="77777777" w:rsidR="0090122A" w:rsidRPr="0090122A" w:rsidRDefault="0090122A" w:rsidP="0090122A">
    <w:pPr>
      <w:pBdr>
        <w:top w:val="thinThick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24"/>
        <w:szCs w:val="24"/>
        <w:lang w:eastAsia="pt-BR"/>
      </w:rPr>
    </w:pPr>
    <w:r w:rsidRPr="0090122A">
      <w:rPr>
        <w:rFonts w:ascii="Cambria" w:eastAsia="Times New Roman" w:hAnsi="Cambria" w:cs="Times New Roman"/>
        <w:sz w:val="24"/>
        <w:szCs w:val="24"/>
        <w:lang w:eastAsia="pt-BR"/>
      </w:rPr>
      <w:t xml:space="preserve">Rua Boa Vista, 265 - CEP: 97950-000 – Fone (55) 3353-1200 – E-mail: </w:t>
    </w:r>
    <w:hyperlink r:id="rId1" w:history="1">
      <w:r w:rsidRPr="0090122A">
        <w:rPr>
          <w:rFonts w:ascii="Cambria" w:eastAsia="Times New Roman" w:hAnsi="Cambria" w:cs="Times New Roman"/>
          <w:color w:val="0000FF"/>
          <w:sz w:val="24"/>
          <w:szCs w:val="24"/>
          <w:u w:val="single"/>
          <w:lang w:eastAsia="pt-BR"/>
        </w:rPr>
        <w:t>prefeitura.gdm@hotmail.com</w:t>
      </w:r>
    </w:hyperlink>
  </w:p>
  <w:p w14:paraId="609F1A1C" w14:textId="6E341D6F" w:rsidR="0090122A" w:rsidRPr="0090122A" w:rsidRDefault="0090122A" w:rsidP="0090122A">
    <w:pPr>
      <w:pBdr>
        <w:top w:val="thinThick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90122A">
      <w:rPr>
        <w:rFonts w:ascii="Cambria" w:eastAsia="Times New Roman" w:hAnsi="Cambria" w:cs="Times New Roman"/>
        <w:sz w:val="24"/>
        <w:szCs w:val="24"/>
        <w:lang w:eastAsia="pt-BR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3CBDE" w14:textId="77777777" w:rsidR="007E3683" w:rsidRDefault="007E3683" w:rsidP="00F914C8">
      <w:pPr>
        <w:spacing w:after="0" w:line="240" w:lineRule="auto"/>
      </w:pPr>
      <w:r>
        <w:separator/>
      </w:r>
    </w:p>
  </w:footnote>
  <w:footnote w:type="continuationSeparator" w:id="0">
    <w:p w14:paraId="5BC2E1A1" w14:textId="77777777" w:rsidR="007E3683" w:rsidRDefault="007E3683" w:rsidP="00F91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382BD" w14:textId="77777777" w:rsidR="00F914C8" w:rsidRPr="00F914C8" w:rsidRDefault="00F914C8" w:rsidP="00F914C8">
    <w:pPr>
      <w:pBdr>
        <w:bottom w:val="thickThin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32"/>
        <w:szCs w:val="32"/>
        <w:lang w:eastAsia="pt-BR"/>
      </w:rPr>
    </w:pPr>
    <w:r w:rsidRPr="00F914C8">
      <w:rPr>
        <w:rFonts w:ascii="Cambria" w:eastAsia="Times New Roman" w:hAnsi="Cambria" w:cs="Times New Roman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DE1BC48" wp14:editId="580100C7">
          <wp:simplePos x="0" y="0"/>
          <wp:positionH relativeFrom="column">
            <wp:posOffset>369925</wp:posOffset>
          </wp:positionH>
          <wp:positionV relativeFrom="paragraph">
            <wp:posOffset>145208</wp:posOffset>
          </wp:positionV>
          <wp:extent cx="5616205" cy="616689"/>
          <wp:effectExtent l="19050" t="0" r="3545" b="0"/>
          <wp:wrapNone/>
          <wp:docPr id="8" name="Imagem 8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6205" cy="616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CB4190" w14:textId="77777777" w:rsidR="00F914C8" w:rsidRPr="00F914C8" w:rsidRDefault="00F914C8" w:rsidP="00F914C8">
    <w:pPr>
      <w:pBdr>
        <w:bottom w:val="thickThin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32"/>
        <w:szCs w:val="32"/>
        <w:lang w:eastAsia="pt-BR"/>
      </w:rPr>
    </w:pPr>
  </w:p>
  <w:p w14:paraId="619EEDEE" w14:textId="77777777" w:rsidR="00F914C8" w:rsidRPr="00F914C8" w:rsidRDefault="00F914C8" w:rsidP="00F914C8">
    <w:pPr>
      <w:pBdr>
        <w:bottom w:val="thickThinSmallGap" w:sz="24" w:space="0" w:color="622423"/>
      </w:pBdr>
      <w:tabs>
        <w:tab w:val="left" w:pos="3195"/>
        <w:tab w:val="center" w:pos="4252"/>
        <w:tab w:val="center" w:pos="4873"/>
        <w:tab w:val="right" w:pos="8504"/>
      </w:tabs>
      <w:spacing w:after="0" w:line="240" w:lineRule="auto"/>
      <w:rPr>
        <w:rFonts w:ascii="Cambria" w:eastAsia="Times New Roman" w:hAnsi="Cambria" w:cs="Times New Roman"/>
        <w:sz w:val="32"/>
        <w:szCs w:val="32"/>
        <w:lang w:eastAsia="pt-BR"/>
      </w:rPr>
    </w:pPr>
    <w:r w:rsidRPr="00F914C8">
      <w:rPr>
        <w:rFonts w:ascii="Cambria" w:eastAsia="Times New Roman" w:hAnsi="Cambria" w:cs="Times New Roman"/>
        <w:sz w:val="32"/>
        <w:szCs w:val="32"/>
        <w:lang w:eastAsia="pt-BR"/>
      </w:rPr>
      <w:tab/>
      <w:t xml:space="preserve">   </w:t>
    </w:r>
    <w:r w:rsidRPr="00F914C8">
      <w:rPr>
        <w:rFonts w:ascii="Cambria" w:eastAsia="Times New Roman" w:hAnsi="Cambria" w:cs="Times New Roman"/>
        <w:sz w:val="32"/>
        <w:szCs w:val="32"/>
        <w:lang w:eastAsia="pt-BR"/>
      </w:rPr>
      <w:tab/>
    </w:r>
    <w:r w:rsidRPr="00F914C8">
      <w:rPr>
        <w:rFonts w:ascii="Cambria" w:eastAsia="Times New Roman" w:hAnsi="Cambria" w:cs="Times New Roman"/>
        <w:sz w:val="32"/>
        <w:szCs w:val="32"/>
        <w:lang w:eastAsia="pt-BR"/>
      </w:rPr>
      <w:tab/>
    </w:r>
  </w:p>
  <w:p w14:paraId="291A9B47" w14:textId="77777777" w:rsidR="00F914C8" w:rsidRPr="00F914C8" w:rsidRDefault="00F914C8" w:rsidP="00F914C8">
    <w:pPr>
      <w:pBdr>
        <w:bottom w:val="thickThin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32"/>
        <w:szCs w:val="32"/>
        <w:lang w:eastAsia="pt-BR"/>
      </w:rPr>
    </w:pPr>
  </w:p>
  <w:p w14:paraId="7CC3C822" w14:textId="77777777" w:rsidR="00F914C8" w:rsidRPr="00F914C8" w:rsidRDefault="00F914C8" w:rsidP="00F914C8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14:paraId="74203F21" w14:textId="6E70B4BC" w:rsidR="00F914C8" w:rsidRDefault="00F914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571BA"/>
    <w:multiLevelType w:val="multilevel"/>
    <w:tmpl w:val="31DAF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F8"/>
    <w:rsid w:val="001C6F9E"/>
    <w:rsid w:val="001D2537"/>
    <w:rsid w:val="00260C4F"/>
    <w:rsid w:val="003A583C"/>
    <w:rsid w:val="006E31D0"/>
    <w:rsid w:val="00773AF8"/>
    <w:rsid w:val="007E3683"/>
    <w:rsid w:val="00866A28"/>
    <w:rsid w:val="0090122A"/>
    <w:rsid w:val="00946E63"/>
    <w:rsid w:val="00C244FD"/>
    <w:rsid w:val="00C93751"/>
    <w:rsid w:val="00CC61F0"/>
    <w:rsid w:val="00F146C3"/>
    <w:rsid w:val="00F16E11"/>
    <w:rsid w:val="00F30889"/>
    <w:rsid w:val="00F9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C9B7C"/>
  <w15:chartTrackingRefBased/>
  <w15:docId w15:val="{EAA4DF46-C8B5-4618-B640-E28BB645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D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73AF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3AF8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914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14C8"/>
  </w:style>
  <w:style w:type="paragraph" w:styleId="Rodap">
    <w:name w:val="footer"/>
    <w:basedOn w:val="Normal"/>
    <w:link w:val="RodapChar"/>
    <w:uiPriority w:val="99"/>
    <w:unhideWhenUsed/>
    <w:rsid w:val="00F914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14C8"/>
  </w:style>
  <w:style w:type="paragraph" w:styleId="PargrafodaLista">
    <w:name w:val="List Paragraph"/>
    <w:basedOn w:val="Normal"/>
    <w:uiPriority w:val="34"/>
    <w:qFormat/>
    <w:rsid w:val="006E31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9AA23-594A-4DF3-AECC-F556DA171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1180</Words>
  <Characters>6374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Junior Warpechowski</dc:creator>
  <cp:keywords/>
  <dc:description/>
  <cp:lastModifiedBy>Prefeitura de Guarani das Missões - Capital Polonesa dos Gaúchos</cp:lastModifiedBy>
  <cp:revision>12</cp:revision>
  <cp:lastPrinted>2020-08-31T11:51:00Z</cp:lastPrinted>
  <dcterms:created xsi:type="dcterms:W3CDTF">2020-08-28T15:24:00Z</dcterms:created>
  <dcterms:modified xsi:type="dcterms:W3CDTF">2020-08-31T14:56:00Z</dcterms:modified>
</cp:coreProperties>
</file>