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B77C0" w14:textId="77777777" w:rsidR="00E00E87" w:rsidRDefault="00E00E87" w:rsidP="002F0DF3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t-BR"/>
        </w:rPr>
      </w:pPr>
    </w:p>
    <w:p w14:paraId="348337FD" w14:textId="565DCBAC" w:rsidR="002F0DF3" w:rsidRPr="006F2335" w:rsidRDefault="002F0DF3" w:rsidP="002F0DF3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t-BR"/>
        </w:rPr>
      </w:pPr>
      <w:r w:rsidRPr="006F2335">
        <w:rPr>
          <w:rFonts w:eastAsia="Times New Roman" w:cs="Arial"/>
          <w:b/>
          <w:sz w:val="24"/>
          <w:szCs w:val="24"/>
          <w:lang w:eastAsia="pt-BR"/>
        </w:rPr>
        <w:t>Município de Guarani das Missões</w:t>
      </w:r>
    </w:p>
    <w:p w14:paraId="2907B66F" w14:textId="77777777" w:rsidR="002F0DF3" w:rsidRPr="006F2335" w:rsidRDefault="002F0DF3" w:rsidP="002F0DF3">
      <w:pPr>
        <w:spacing w:after="60" w:line="240" w:lineRule="auto"/>
        <w:ind w:firstLine="567"/>
        <w:jc w:val="center"/>
        <w:outlineLvl w:val="1"/>
        <w:rPr>
          <w:rFonts w:eastAsia="Times New Roman"/>
          <w:b/>
          <w:sz w:val="24"/>
          <w:szCs w:val="24"/>
          <w:lang w:eastAsia="pt-BR"/>
        </w:rPr>
      </w:pPr>
      <w:bookmarkStart w:id="0" w:name="_Toc466274123"/>
      <w:r w:rsidRPr="006F2335">
        <w:rPr>
          <w:rFonts w:eastAsia="Times New Roman"/>
          <w:b/>
          <w:sz w:val="24"/>
          <w:szCs w:val="24"/>
          <w:lang w:eastAsia="pt-BR"/>
        </w:rPr>
        <w:t>Notas Explicativas da Demonstração das Variações Patrimoniais</w:t>
      </w:r>
      <w:bookmarkEnd w:id="0"/>
    </w:p>
    <w:p w14:paraId="097C8F34" w14:textId="00B5B7EE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  <w:r w:rsidRPr="006F2335">
        <w:rPr>
          <w:rFonts w:eastAsia="Times New Roman" w:cs="Arial"/>
          <w:b/>
          <w:bCs/>
          <w:lang w:eastAsia="pt-BR"/>
        </w:rPr>
        <w:t xml:space="preserve"> </w:t>
      </w:r>
      <w:r w:rsidRPr="006F2335">
        <w:rPr>
          <w:rFonts w:eastAsia="Times New Roman" w:cs="Arial"/>
          <w:b/>
          <w:bCs/>
          <w:lang w:eastAsia="pt-BR"/>
        </w:rPr>
        <w:tab/>
      </w:r>
    </w:p>
    <w:p w14:paraId="057527C4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bCs/>
          <w:lang w:eastAsia="pt-BR"/>
        </w:rPr>
        <w:t xml:space="preserve">Nota 1 </w:t>
      </w:r>
      <w:r>
        <w:rPr>
          <w:rFonts w:eastAsia="Times New Roman" w:cs="Arial"/>
          <w:b/>
          <w:bCs/>
          <w:lang w:eastAsia="pt-BR"/>
        </w:rPr>
        <w:t>-</w:t>
      </w:r>
      <w:r w:rsidRPr="006F2335">
        <w:rPr>
          <w:rFonts w:eastAsia="Times New Roman" w:cs="Arial"/>
          <w:b/>
          <w:bCs/>
          <w:lang w:eastAsia="pt-BR"/>
        </w:rPr>
        <w:t xml:space="preserve">   Valorização e Ganhos com Ativos e Desincorporação de Passivos</w:t>
      </w:r>
      <w:r w:rsidRPr="006F2335">
        <w:rPr>
          <w:rFonts w:eastAsia="Times New Roman" w:cs="Arial"/>
          <w:lang w:eastAsia="pt-BR"/>
        </w:rPr>
        <w:t xml:space="preserve">: em relação a esse item cabe destacar que, em razão do processo de convergência aos padrões de contabilidade estabelecido pelas </w:t>
      </w:r>
      <w:proofErr w:type="spellStart"/>
      <w:r w:rsidRPr="006F2335">
        <w:rPr>
          <w:rFonts w:eastAsia="Times New Roman" w:cs="Arial"/>
          <w:lang w:eastAsia="pt-BR"/>
        </w:rPr>
        <w:t>NBCASP</w:t>
      </w:r>
      <w:proofErr w:type="spellEnd"/>
      <w:r w:rsidRPr="006F2335">
        <w:rPr>
          <w:rFonts w:eastAsia="Times New Roman" w:cs="Arial"/>
          <w:lang w:eastAsia="pt-BR"/>
        </w:rPr>
        <w:t xml:space="preserve"> 07, e de acordo com o </w:t>
      </w:r>
      <w:proofErr w:type="spellStart"/>
      <w:r w:rsidRPr="006F2335">
        <w:rPr>
          <w:rFonts w:eastAsia="Times New Roman" w:cs="Arial"/>
          <w:lang w:eastAsia="pt-BR"/>
        </w:rPr>
        <w:t>MCASP</w:t>
      </w:r>
      <w:proofErr w:type="spellEnd"/>
      <w:r w:rsidRPr="006F2335">
        <w:rPr>
          <w:rFonts w:eastAsia="Times New Roman" w:cs="Arial"/>
          <w:lang w:eastAsia="pt-BR"/>
        </w:rPr>
        <w:t>, foram efetuados vários ajustes para a adoção do valor de mercado para bens do ativo. As incorporações de ativos tiveram aumento</w:t>
      </w:r>
      <w:r>
        <w:rPr>
          <w:rFonts w:eastAsia="Times New Roman" w:cs="Arial"/>
          <w:lang w:eastAsia="pt-BR"/>
        </w:rPr>
        <w:t xml:space="preserve"> </w:t>
      </w:r>
      <w:r w:rsidRPr="006F2335">
        <w:rPr>
          <w:rFonts w:eastAsia="Times New Roman" w:cs="Arial"/>
          <w:lang w:eastAsia="pt-BR"/>
        </w:rPr>
        <w:t xml:space="preserve">de R$ </w:t>
      </w:r>
      <w:r>
        <w:rPr>
          <w:rFonts w:eastAsia="Times New Roman" w:cs="Arial"/>
          <w:lang w:eastAsia="pt-BR"/>
        </w:rPr>
        <w:t>597.584,91</w:t>
      </w:r>
      <w:r w:rsidRPr="006F2335">
        <w:rPr>
          <w:rFonts w:eastAsia="Times New Roman" w:cs="Arial"/>
          <w:lang w:eastAsia="pt-BR"/>
        </w:rPr>
        <w:t xml:space="preserve"> em relação ao ano anterior.</w:t>
      </w:r>
    </w:p>
    <w:p w14:paraId="7A832ED7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</w:p>
    <w:tbl>
      <w:tblPr>
        <w:tblW w:w="772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5"/>
        <w:gridCol w:w="1701"/>
      </w:tblGrid>
      <w:tr w:rsidR="002F0DF3" w:rsidRPr="007C4664" w14:paraId="345157DA" w14:textId="77777777" w:rsidTr="002F0DF3">
        <w:trPr>
          <w:trHeight w:val="286"/>
          <w:jc w:val="center"/>
        </w:trPr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8E77E" w14:textId="77777777" w:rsidR="002F0DF3" w:rsidRPr="007C4664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7C4664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Item / Subitem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C58A25" w14:textId="77777777" w:rsidR="002F0DF3" w:rsidRPr="007C4664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7C4664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 xml:space="preserve">Valor R$ </w:t>
            </w:r>
          </w:p>
        </w:tc>
      </w:tr>
      <w:tr w:rsidR="002F0DF3" w:rsidRPr="007C4664" w14:paraId="461ACFA8" w14:textId="77777777" w:rsidTr="002F0DF3">
        <w:trPr>
          <w:trHeight w:val="332"/>
          <w:jc w:val="center"/>
        </w:trPr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418B1" w14:textId="77777777" w:rsidR="002F0DF3" w:rsidRPr="007C4664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7C4664">
              <w:rPr>
                <w:rFonts w:eastAsia="Times New Roman" w:cs="Arial"/>
                <w:sz w:val="18"/>
                <w:szCs w:val="18"/>
                <w:lang w:eastAsia="zh-CN"/>
              </w:rPr>
              <w:t>4.6.3.9.0.00 - OUTROS GANHOS COM INCORPORAÇÃO DE ATIVOS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4179E" w14:textId="77777777" w:rsidR="002F0DF3" w:rsidRPr="007C4664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7C4664">
              <w:rPr>
                <w:rFonts w:cs="Calibri"/>
                <w:color w:val="000000"/>
                <w:sz w:val="18"/>
                <w:szCs w:val="18"/>
              </w:rPr>
              <w:t xml:space="preserve">           1.002.585,03 </w:t>
            </w:r>
          </w:p>
        </w:tc>
      </w:tr>
      <w:tr w:rsidR="002F0DF3" w:rsidRPr="007C4664" w14:paraId="57CC9C81" w14:textId="77777777" w:rsidTr="002F0DF3">
        <w:trPr>
          <w:trHeight w:val="378"/>
          <w:jc w:val="center"/>
        </w:trPr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D2FE9" w14:textId="77777777" w:rsidR="002F0DF3" w:rsidRPr="007C4664" w:rsidRDefault="002F0DF3" w:rsidP="00CA24BF">
            <w:pPr>
              <w:spacing w:after="0" w:line="240" w:lineRule="auto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7C4664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Total das  v</w:t>
            </w:r>
            <w:r w:rsidRPr="007C4664">
              <w:rPr>
                <w:rFonts w:eastAsia="Times New Roman" w:cs="Arial"/>
                <w:b/>
                <w:bCs/>
                <w:sz w:val="18"/>
                <w:szCs w:val="18"/>
                <w:lang w:eastAsia="pt-BR"/>
              </w:rPr>
              <w:t>alorizações e ganhos com ativos e desincorporações de passivos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3A2E2" w14:textId="77777777" w:rsidR="002F0DF3" w:rsidRPr="007C4664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7C4664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           1.002.585,03 </w:t>
            </w:r>
          </w:p>
        </w:tc>
      </w:tr>
    </w:tbl>
    <w:p w14:paraId="5F9CE9FC" w14:textId="77777777" w:rsidR="002F0DF3" w:rsidRPr="006F2335" w:rsidRDefault="002F0DF3" w:rsidP="002F0DF3">
      <w:pPr>
        <w:spacing w:after="0" w:line="240" w:lineRule="auto"/>
        <w:rPr>
          <w:rFonts w:eastAsia="Times New Roman" w:cs="Arial"/>
          <w:b/>
          <w:bCs/>
          <w:lang w:eastAsia="pt-BR"/>
        </w:rPr>
      </w:pPr>
    </w:p>
    <w:p w14:paraId="21C962AF" w14:textId="77777777" w:rsidR="002F0DF3" w:rsidRPr="00F231F2" w:rsidRDefault="002F0DF3" w:rsidP="002F0DF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pt-BR"/>
        </w:rPr>
      </w:pPr>
      <w:r w:rsidRPr="00F231F2">
        <w:rPr>
          <w:rFonts w:eastAsia="Times New Roman" w:cs="Arial"/>
          <w:b/>
          <w:bCs/>
          <w:lang w:eastAsia="pt-BR"/>
        </w:rPr>
        <w:t>Nota 2 - Outras Variações Patrimoniais Aumentativas</w:t>
      </w:r>
      <w:r w:rsidRPr="00F231F2">
        <w:rPr>
          <w:rFonts w:eastAsia="Times New Roman" w:cs="Arial"/>
          <w:lang w:eastAsia="pt-BR"/>
        </w:rPr>
        <w:t xml:space="preserve">: compreende o somatório das demais variações patrimoniais aumentativas não incluídas nos grupos anteriores, tais como: resultado positivo da equivalência patrimonial, dividendos. Em 2025, os registros nesse item somaram  R$ 26.179.726,80, representando um aumento de 843,63% em relação ano anterior, onde se destaca o acréscimo relacionado ao </w:t>
      </w:r>
      <w:proofErr w:type="spellStart"/>
      <w:r w:rsidRPr="00F231F2">
        <w:rPr>
          <w:rFonts w:eastAsia="Microsoft YaHei" w:cs="Calibri"/>
          <w:color w:val="000000"/>
          <w:lang w:eastAsia="pt-BR"/>
        </w:rPr>
        <w:t>VPA</w:t>
      </w:r>
      <w:proofErr w:type="spellEnd"/>
      <w:r w:rsidRPr="00F231F2">
        <w:rPr>
          <w:rFonts w:eastAsia="Microsoft YaHei" w:cs="Calibri"/>
          <w:color w:val="000000"/>
          <w:lang w:eastAsia="pt-BR"/>
        </w:rPr>
        <w:t xml:space="preserve"> do valor atual da contribuição suplementar para cobertura do déficit atuarial</w:t>
      </w:r>
      <w:r w:rsidRPr="00F231F2">
        <w:rPr>
          <w:rFonts w:eastAsia="Times New Roman" w:cs="Arial"/>
          <w:lang w:eastAsia="pt-BR"/>
        </w:rPr>
        <w:t>, que som</w:t>
      </w:r>
      <w:r>
        <w:rPr>
          <w:rFonts w:eastAsia="Times New Roman" w:cs="Arial"/>
          <w:lang w:eastAsia="pt-BR"/>
        </w:rPr>
        <w:t>ou</w:t>
      </w:r>
      <w:r w:rsidRPr="00F231F2">
        <w:rPr>
          <w:rFonts w:eastAsia="Times New Roman" w:cs="Arial"/>
          <w:lang w:eastAsia="pt-BR"/>
        </w:rPr>
        <w:t xml:space="preserve"> R$ </w:t>
      </w:r>
      <w:r w:rsidRPr="00F231F2">
        <w:rPr>
          <w:rFonts w:cs="Calibri"/>
          <w:color w:val="000000"/>
        </w:rPr>
        <w:t>19.935.625,02</w:t>
      </w:r>
      <w:r w:rsidRPr="00F231F2">
        <w:rPr>
          <w:rFonts w:eastAsia="Times New Roman" w:cs="Arial"/>
          <w:lang w:eastAsia="pt-BR"/>
        </w:rPr>
        <w:t>.</w:t>
      </w:r>
    </w:p>
    <w:p w14:paraId="45DB89E6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tbl>
      <w:tblPr>
        <w:tblW w:w="81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2"/>
        <w:gridCol w:w="1560"/>
      </w:tblGrid>
      <w:tr w:rsidR="002F0DF3" w:rsidRPr="006F2335" w14:paraId="1E03EE90" w14:textId="77777777" w:rsidTr="002F0DF3">
        <w:trPr>
          <w:trHeight w:val="393"/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60A7C" w14:textId="77777777" w:rsidR="002F0DF3" w:rsidRPr="006F2335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Item / Subitem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B1132" w14:textId="77777777" w:rsidR="002F0DF3" w:rsidRDefault="002F0DF3" w:rsidP="00CA24B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</w:p>
          <w:p w14:paraId="240CE6EE" w14:textId="223A5B3E" w:rsidR="002F0DF3" w:rsidRPr="006F2335" w:rsidRDefault="002F0DF3" w:rsidP="00CA24B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  <w:r w:rsidRPr="006F2335"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  <w:t>Valor R$</w:t>
            </w:r>
          </w:p>
        </w:tc>
      </w:tr>
      <w:tr w:rsidR="002F0DF3" w:rsidRPr="006F2335" w14:paraId="26D34E63" w14:textId="77777777" w:rsidTr="00CA24BF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C356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 xml:space="preserve">4.9.7.1.1.00 - REVERSÃO DE PROVISÕES </w:t>
            </w:r>
            <w:r>
              <w:rPr>
                <w:rFonts w:eastAsia="Times New Roman" w:cs="Arial"/>
                <w:sz w:val="18"/>
                <w:szCs w:val="18"/>
                <w:lang w:eastAsia="zh-CN"/>
              </w:rPr>
              <w:t>-</w:t>
            </w: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 xml:space="preserve"> CONSOLIDAÇÃO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9767D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zh-CN"/>
              </w:rPr>
              <w:t xml:space="preserve">                              3.914.507,97 </w:t>
            </w:r>
          </w:p>
        </w:tc>
      </w:tr>
      <w:tr w:rsidR="002F0DF3" w:rsidRPr="006F2335" w14:paraId="716E5816" w14:textId="77777777" w:rsidTr="00CA24BF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2EF8E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4.9.9.1.0.00 - COMPENSAÇÃO FINANCEIRA ENTRE RGPS/RPPS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CC7EB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zh-CN"/>
              </w:rPr>
              <w:t xml:space="preserve">                                 892.988,16 </w:t>
            </w:r>
          </w:p>
        </w:tc>
      </w:tr>
      <w:tr w:rsidR="002F0DF3" w:rsidRPr="006F2335" w14:paraId="187EDD60" w14:textId="77777777" w:rsidTr="00CA24BF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63C67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4.9.9.6.0.00 - INDENIZAÇÕES E RESTITUIÇÕES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115D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zh-CN"/>
              </w:rPr>
              <w:t xml:space="preserve">                                   86.964,51 </w:t>
            </w:r>
          </w:p>
        </w:tc>
      </w:tr>
      <w:tr w:rsidR="002F0DF3" w:rsidRPr="006F2335" w14:paraId="6FBF7864" w14:textId="77777777" w:rsidTr="00CA24BF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7561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4.9.9.9.0.00 - VARIAÇÕES PATRIMONIAIS AUMENTATIVAS DECORRENTES DE FATOS GERADORES DIVERSOS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6EB58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                      19.935.625,02 </w:t>
            </w:r>
          </w:p>
        </w:tc>
      </w:tr>
      <w:tr w:rsidR="002F0DF3" w:rsidRPr="006F2335" w14:paraId="536FE98F" w14:textId="77777777" w:rsidTr="00CA24BF">
        <w:trPr>
          <w:jc w:val="center"/>
        </w:trPr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83F9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Total das Outras Variações Patrimoniais Aumentativas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5B3CF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zh-CN"/>
              </w:rPr>
              <w:t xml:space="preserve">                              1.349.641,14 </w:t>
            </w:r>
          </w:p>
        </w:tc>
      </w:tr>
    </w:tbl>
    <w:p w14:paraId="075FF93B" w14:textId="77777777" w:rsidR="002F0DF3" w:rsidRPr="006F2335" w:rsidRDefault="002F0DF3" w:rsidP="002F0DF3">
      <w:pPr>
        <w:spacing w:after="0" w:line="240" w:lineRule="auto"/>
        <w:rPr>
          <w:rFonts w:eastAsia="Times New Roman" w:cs="Arial"/>
          <w:b/>
          <w:bCs/>
          <w:lang w:eastAsia="pt-BR"/>
        </w:rPr>
      </w:pPr>
    </w:p>
    <w:p w14:paraId="16100FC8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07E8FD97" w14:textId="0A8E744B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bCs/>
          <w:lang w:eastAsia="pt-BR"/>
        </w:rPr>
        <w:t xml:space="preserve">Nota 3 </w:t>
      </w:r>
      <w:r>
        <w:rPr>
          <w:rFonts w:eastAsia="Times New Roman" w:cs="Arial"/>
          <w:b/>
          <w:bCs/>
          <w:lang w:eastAsia="pt-BR"/>
        </w:rPr>
        <w:t>-</w:t>
      </w:r>
      <w:r w:rsidRPr="006F2335">
        <w:rPr>
          <w:rFonts w:eastAsia="Times New Roman" w:cs="Arial"/>
          <w:b/>
          <w:bCs/>
          <w:lang w:eastAsia="pt-BR"/>
        </w:rPr>
        <w:t xml:space="preserve"> Desvalorização e Perdas de Ativos e Incorporação de Passivos: </w:t>
      </w:r>
      <w:r w:rsidRPr="006F2335">
        <w:rPr>
          <w:rFonts w:eastAsia="Times New Roman" w:cs="Arial"/>
          <w:lang w:eastAsia="pt-BR"/>
        </w:rPr>
        <w:t>em função da continuidade do cumprimento da implantação dos procedimentos contábeis relativos às Normas Brasileiras de Contabilidade Aplicadas ao Setor Público, no âmbito do Governo Municipal</w:t>
      </w:r>
      <w:r>
        <w:rPr>
          <w:rFonts w:eastAsia="Times New Roman" w:cs="Arial"/>
          <w:lang w:eastAsia="pt-BR"/>
        </w:rPr>
        <w:t>, temos o seguinte quadro:</w:t>
      </w:r>
    </w:p>
    <w:p w14:paraId="10554354" w14:textId="013A176B" w:rsidR="002F0DF3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</w:p>
    <w:p w14:paraId="2CA11A58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4"/>
        <w:gridCol w:w="1567"/>
      </w:tblGrid>
      <w:tr w:rsidR="002F0DF3" w:rsidRPr="006310A1" w14:paraId="50A9E67B" w14:textId="77777777" w:rsidTr="00CA24BF">
        <w:trPr>
          <w:trHeight w:val="375"/>
          <w:jc w:val="center"/>
        </w:trPr>
        <w:tc>
          <w:tcPr>
            <w:tcW w:w="7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4AD35" w14:textId="77777777" w:rsidR="002F0DF3" w:rsidRPr="006310A1" w:rsidRDefault="002F0DF3" w:rsidP="00CA24B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  <w:t>Item /  Subitem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58CDD" w14:textId="77777777" w:rsidR="002F0DF3" w:rsidRPr="006310A1" w:rsidRDefault="002F0DF3" w:rsidP="00CA24B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  <w:t>Valor R$</w:t>
            </w:r>
          </w:p>
        </w:tc>
      </w:tr>
      <w:tr w:rsidR="002F0DF3" w:rsidRPr="006310A1" w14:paraId="15A021E8" w14:textId="77777777" w:rsidTr="00CA24BF">
        <w:trPr>
          <w:trHeight w:val="375"/>
          <w:jc w:val="center"/>
        </w:trPr>
        <w:tc>
          <w:tcPr>
            <w:tcW w:w="7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BE19D" w14:textId="77777777" w:rsidR="002F0DF3" w:rsidRPr="006310A1" w:rsidRDefault="002F0DF3" w:rsidP="00CA24B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>3.6.1.7.0.00 - VARIAÇÃO PATRIMONIAL DIMINUTIVA COM AJUSTE DE PERDAS DE CRÉDITOS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B1135" w14:textId="77777777" w:rsidR="002F0DF3" w:rsidRPr="006310A1" w:rsidRDefault="002F0DF3" w:rsidP="00CA24B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 xml:space="preserve">                                   13.927,00 </w:t>
            </w:r>
          </w:p>
        </w:tc>
      </w:tr>
      <w:tr w:rsidR="002F0DF3" w:rsidRPr="006310A1" w14:paraId="76850F1A" w14:textId="77777777" w:rsidTr="00CA24BF">
        <w:trPr>
          <w:trHeight w:val="375"/>
          <w:jc w:val="center"/>
        </w:trPr>
        <w:tc>
          <w:tcPr>
            <w:tcW w:w="7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17A4D" w14:textId="77777777" w:rsidR="002F0DF3" w:rsidRPr="006310A1" w:rsidRDefault="002F0DF3" w:rsidP="00CA24B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>3.6.1.8.0.00 - VARIAÇÃO PATRIMONIAL DIMINUTIVA COM AJUSTE DE PERDAS DE ESTOQUES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DBE94" w14:textId="77777777" w:rsidR="002F0DF3" w:rsidRPr="006310A1" w:rsidRDefault="002F0DF3" w:rsidP="00CA24B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 xml:space="preserve">                                   22.372,59 </w:t>
            </w:r>
          </w:p>
        </w:tc>
      </w:tr>
      <w:tr w:rsidR="002F0DF3" w:rsidRPr="006310A1" w14:paraId="56249B6C" w14:textId="77777777" w:rsidTr="00CA24BF">
        <w:trPr>
          <w:trHeight w:val="375"/>
          <w:jc w:val="center"/>
        </w:trPr>
        <w:tc>
          <w:tcPr>
            <w:tcW w:w="7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14264" w14:textId="77777777" w:rsidR="002F0DF3" w:rsidRPr="006310A1" w:rsidRDefault="002F0DF3" w:rsidP="00CA24B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>3.6.3.1.0.00 - PERDAS INVOLUNTÁRIAS COM IMOBILIZADO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CF089" w14:textId="77777777" w:rsidR="002F0DF3" w:rsidRPr="006310A1" w:rsidRDefault="002F0DF3" w:rsidP="00CA24B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 xml:space="preserve">                                   50.367,92 </w:t>
            </w:r>
          </w:p>
        </w:tc>
      </w:tr>
      <w:tr w:rsidR="002F0DF3" w:rsidRPr="006310A1" w14:paraId="1A46FE36" w14:textId="77777777" w:rsidTr="00CA24BF">
        <w:trPr>
          <w:trHeight w:val="375"/>
          <w:jc w:val="center"/>
        </w:trPr>
        <w:tc>
          <w:tcPr>
            <w:tcW w:w="7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B6E67" w14:textId="77777777" w:rsidR="002F0DF3" w:rsidRPr="006310A1" w:rsidRDefault="002F0DF3" w:rsidP="00CA24B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>3.6.5.1.1.00 - DESINCORPORAÇÃO DE ATIVOS - CONSOLIDAÇÃO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3C0A" w14:textId="77777777" w:rsidR="002F0DF3" w:rsidRPr="006310A1" w:rsidRDefault="002F0DF3" w:rsidP="00CA24B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color w:val="000000"/>
                <w:sz w:val="18"/>
                <w:szCs w:val="18"/>
                <w:lang w:eastAsia="pt-BR"/>
              </w:rPr>
              <w:t xml:space="preserve">                              1.079.690,31 </w:t>
            </w:r>
          </w:p>
        </w:tc>
      </w:tr>
      <w:tr w:rsidR="002F0DF3" w:rsidRPr="006310A1" w14:paraId="3D5E54B7" w14:textId="77777777" w:rsidTr="00CA24BF">
        <w:trPr>
          <w:trHeight w:val="375"/>
          <w:jc w:val="center"/>
        </w:trPr>
        <w:tc>
          <w:tcPr>
            <w:tcW w:w="7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32866" w14:textId="77777777" w:rsidR="002F0DF3" w:rsidRPr="006310A1" w:rsidRDefault="002F0DF3" w:rsidP="00CA24B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  <w:t>Total das desvalorizações e perdas de ativos e incorporações de passivos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18F2C" w14:textId="77777777" w:rsidR="002F0DF3" w:rsidRPr="006310A1" w:rsidRDefault="002F0DF3" w:rsidP="00CA24BF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310A1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t-BR"/>
              </w:rPr>
              <w:t xml:space="preserve">                              1.166.357,82 </w:t>
            </w:r>
          </w:p>
        </w:tc>
      </w:tr>
    </w:tbl>
    <w:p w14:paraId="66E4C021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</w:p>
    <w:p w14:paraId="70AB8F0C" w14:textId="77777777" w:rsidR="002F0DF3" w:rsidRPr="006F2335" w:rsidRDefault="002F0DF3" w:rsidP="002F0DF3">
      <w:pPr>
        <w:spacing w:after="0" w:line="240" w:lineRule="auto"/>
        <w:rPr>
          <w:rFonts w:eastAsia="Times New Roman" w:cs="Arial"/>
          <w:b/>
          <w:bCs/>
          <w:lang w:eastAsia="pt-BR"/>
        </w:rPr>
      </w:pPr>
    </w:p>
    <w:p w14:paraId="009BB021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bCs/>
          <w:lang w:eastAsia="pt-BR"/>
        </w:rPr>
        <w:t xml:space="preserve">Nota 4 </w:t>
      </w:r>
      <w:r>
        <w:rPr>
          <w:rFonts w:eastAsia="Times New Roman" w:cs="Arial"/>
          <w:b/>
          <w:bCs/>
          <w:lang w:eastAsia="pt-BR"/>
        </w:rPr>
        <w:t>-</w:t>
      </w:r>
      <w:r w:rsidRPr="006F2335">
        <w:rPr>
          <w:rFonts w:eastAsia="Times New Roman" w:cs="Arial"/>
          <w:b/>
          <w:bCs/>
          <w:lang w:eastAsia="pt-BR"/>
        </w:rPr>
        <w:t xml:space="preserve"> Outras Variações Patrimoniais Diminutivas: </w:t>
      </w:r>
      <w:r w:rsidRPr="006F2335">
        <w:rPr>
          <w:rFonts w:eastAsia="Times New Roman" w:cs="Arial"/>
          <w:lang w:eastAsia="pt-BR"/>
        </w:rPr>
        <w:t>compreende o somatório das demais variações patrimoniais diminutivas não incluídas nos grupos anteriores, tais como: resultado negativo da equivalência patrimonial, dividendos. Em 20</w:t>
      </w:r>
      <w:r>
        <w:rPr>
          <w:rFonts w:eastAsia="Times New Roman" w:cs="Arial"/>
          <w:lang w:eastAsia="pt-BR"/>
        </w:rPr>
        <w:t>25</w:t>
      </w:r>
      <w:r w:rsidRPr="006F2335">
        <w:rPr>
          <w:rFonts w:eastAsia="Times New Roman" w:cs="Arial"/>
          <w:lang w:eastAsia="pt-BR"/>
        </w:rPr>
        <w:t>, os registros nesse item somaram R$</w:t>
      </w:r>
      <w:r>
        <w:rPr>
          <w:rFonts w:eastAsia="Times New Roman" w:cs="Arial"/>
          <w:lang w:eastAsia="pt-BR"/>
        </w:rPr>
        <w:t xml:space="preserve"> 21.303.878,97</w:t>
      </w:r>
      <w:r w:rsidRPr="006F2335">
        <w:rPr>
          <w:rFonts w:eastAsia="Times New Roman" w:cs="Arial"/>
          <w:lang w:eastAsia="pt-BR"/>
        </w:rPr>
        <w:t xml:space="preserve">, representando um aumento de </w:t>
      </w:r>
      <w:r>
        <w:rPr>
          <w:rFonts w:eastAsia="Times New Roman" w:cs="Arial"/>
          <w:lang w:eastAsia="pt-BR"/>
        </w:rPr>
        <w:t>37,7</w:t>
      </w:r>
      <w:r w:rsidRPr="006F2335">
        <w:rPr>
          <w:rFonts w:eastAsia="Times New Roman" w:cs="Arial"/>
          <w:lang w:eastAsia="pt-BR"/>
        </w:rPr>
        <w:t>% em relação ao ano anterior. O quadro a seguir detalha a composição das outras variações patrimoniais diminutivas:</w:t>
      </w:r>
    </w:p>
    <w:p w14:paraId="6FC0A3B3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4C54EF55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716E6512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33285189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2CCCC11F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46199F9F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600D7D0A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0082C027" w14:textId="77777777" w:rsidR="002F0DF3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p w14:paraId="331251A4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b/>
          <w:bCs/>
          <w:lang w:eastAsia="pt-BR"/>
        </w:rPr>
      </w:pPr>
    </w:p>
    <w:tbl>
      <w:tblPr>
        <w:tblW w:w="893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3"/>
        <w:gridCol w:w="1417"/>
      </w:tblGrid>
      <w:tr w:rsidR="002F0DF3" w:rsidRPr="006F2335" w14:paraId="75595D57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2C044" w14:textId="77777777" w:rsidR="002F0DF3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</w:p>
          <w:p w14:paraId="1026E52F" w14:textId="77777777" w:rsidR="002F0DF3" w:rsidRPr="006F2335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Item / Subitem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2EA3B" w14:textId="77777777" w:rsidR="002F0DF3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</w:p>
          <w:p w14:paraId="1F50AF14" w14:textId="77777777" w:rsidR="002F0DF3" w:rsidRPr="006F2335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Valor R$</w:t>
            </w:r>
          </w:p>
        </w:tc>
      </w:tr>
      <w:tr w:rsidR="002F0DF3" w:rsidRPr="006F2335" w14:paraId="51EB980E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ED2F6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3.9.1.0.0.00 - PREMIAÇÕES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FE0B0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                             30.345,73 </w:t>
            </w:r>
          </w:p>
        </w:tc>
      </w:tr>
      <w:tr w:rsidR="002F0DF3" w:rsidRPr="006F2335" w14:paraId="7BE3EAD4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52A53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3.9.5.0.0.00 - SUBVENÇÕES ECONÔMICAS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598CE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                           903.118,49 </w:t>
            </w:r>
          </w:p>
        </w:tc>
      </w:tr>
      <w:tr w:rsidR="002F0DF3" w:rsidRPr="006F2335" w14:paraId="4EFEA73D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4B89B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3.9.9.6.0.00 - INDENIZAÇÕES E RESTITUIÇÕES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AFA3C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                             15.077,28 </w:t>
            </w:r>
          </w:p>
        </w:tc>
      </w:tr>
      <w:tr w:rsidR="002F0DF3" w:rsidRPr="006F2335" w14:paraId="617CDD4B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2A807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C07CF2">
              <w:rPr>
                <w:rFonts w:eastAsia="Times New Roman" w:cs="Arial"/>
                <w:sz w:val="18"/>
                <w:szCs w:val="18"/>
                <w:lang w:eastAsia="zh-CN"/>
              </w:rPr>
              <w:t>3.9.9.7.0.00 - COMPENSAÇÕES AO RGPS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4D85A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                           249.951,88 </w:t>
            </w:r>
          </w:p>
        </w:tc>
      </w:tr>
      <w:tr w:rsidR="002F0DF3" w:rsidRPr="006F2335" w14:paraId="6F9D0438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275F8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sz w:val="18"/>
                <w:szCs w:val="18"/>
                <w:lang w:eastAsia="zh-CN"/>
              </w:rPr>
              <w:t>3.9.9.9.0.00 - VARIAÇÕES PATRIMONIAIS DIMINUTIVAS DECORRENTES DE FATOS GERADORES DIVERSOS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57E7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sz w:val="18"/>
                <w:szCs w:val="18"/>
                <w:lang w:eastAsia="zh-CN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                      20.105.385,59 </w:t>
            </w:r>
          </w:p>
        </w:tc>
      </w:tr>
      <w:tr w:rsidR="002F0DF3" w:rsidRPr="006F2335" w14:paraId="48F76221" w14:textId="77777777" w:rsidTr="00CA24BF">
        <w:trPr>
          <w:jc w:val="center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7C73C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 w:rsidRPr="006F2335"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  <w:t>Total das outras variações patrimoniais diminutivas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34268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                            21.303.878,97 </w:t>
            </w:r>
          </w:p>
        </w:tc>
      </w:tr>
    </w:tbl>
    <w:p w14:paraId="557C575D" w14:textId="77777777" w:rsidR="002F0DF3" w:rsidRPr="006F2335" w:rsidRDefault="002F0DF3" w:rsidP="002F0DF3">
      <w:pPr>
        <w:spacing w:after="0" w:line="240" w:lineRule="auto"/>
        <w:rPr>
          <w:rFonts w:eastAsia="Times New Roman" w:cs="Arial"/>
          <w:b/>
          <w:bCs/>
          <w:lang w:eastAsia="pt-BR"/>
        </w:rPr>
      </w:pPr>
    </w:p>
    <w:p w14:paraId="1E3080A6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bCs/>
          <w:lang w:eastAsia="pt-BR"/>
        </w:rPr>
        <w:t xml:space="preserve">Nota 5 </w:t>
      </w:r>
      <w:r>
        <w:rPr>
          <w:rFonts w:eastAsia="Times New Roman" w:cs="Arial"/>
          <w:b/>
          <w:bCs/>
          <w:lang w:eastAsia="pt-BR"/>
        </w:rPr>
        <w:t>-</w:t>
      </w:r>
      <w:r w:rsidRPr="006F2335">
        <w:rPr>
          <w:rFonts w:eastAsia="Times New Roman" w:cs="Arial"/>
          <w:b/>
          <w:bCs/>
          <w:lang w:eastAsia="pt-BR"/>
        </w:rPr>
        <w:t xml:space="preserve"> Resultado Patrimonial do Período: </w:t>
      </w:r>
      <w:r w:rsidRPr="006F2335">
        <w:rPr>
          <w:rFonts w:eastAsia="Times New Roman" w:cs="Arial"/>
          <w:lang w:eastAsia="pt-BR"/>
        </w:rPr>
        <w:t xml:space="preserve">como resultado do confronto entre as Variações Patrimoniais Aumentativas e Diminutivas, tem-se que o resultado patrimonial foi positivo de R$ </w:t>
      </w:r>
      <w:r>
        <w:rPr>
          <w:rFonts w:eastAsia="Times New Roman" w:cs="Arial"/>
          <w:lang w:eastAsia="pt-BR"/>
        </w:rPr>
        <w:t>10.275.465,99</w:t>
      </w:r>
      <w:r w:rsidRPr="006F2335">
        <w:rPr>
          <w:rFonts w:eastAsia="Times New Roman" w:cs="Arial"/>
          <w:lang w:eastAsia="pt-BR"/>
        </w:rPr>
        <w:t xml:space="preserve">.  Comparativamente ao ano anterior, verifica-se uma variação </w:t>
      </w:r>
      <w:r>
        <w:rPr>
          <w:rFonts w:eastAsia="Times New Roman" w:cs="Arial"/>
          <w:lang w:eastAsia="pt-BR"/>
        </w:rPr>
        <w:t xml:space="preserve">positiva </w:t>
      </w:r>
      <w:r w:rsidRPr="006F2335">
        <w:rPr>
          <w:rFonts w:eastAsia="Times New Roman" w:cs="Arial"/>
          <w:lang w:eastAsia="pt-BR"/>
        </w:rPr>
        <w:t xml:space="preserve">de </w:t>
      </w:r>
      <w:r>
        <w:rPr>
          <w:rFonts w:eastAsia="Times New Roman" w:cs="Arial"/>
          <w:lang w:eastAsia="pt-BR"/>
        </w:rPr>
        <w:t>55,7</w:t>
      </w:r>
      <w:r w:rsidRPr="006F2335">
        <w:rPr>
          <w:rFonts w:eastAsia="Times New Roman" w:cs="Arial"/>
          <w:lang w:eastAsia="pt-BR"/>
        </w:rPr>
        <w:t>%.</w:t>
      </w:r>
    </w:p>
    <w:p w14:paraId="45C42F6E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</w:p>
    <w:p w14:paraId="125C619C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  <w:r w:rsidRPr="006F2335">
        <w:rPr>
          <w:rFonts w:eastAsia="Times New Roman" w:cs="Arial"/>
          <w:b/>
          <w:bCs/>
          <w:lang w:eastAsia="pt-BR"/>
        </w:rPr>
        <w:t xml:space="preserve">Nota 6 </w:t>
      </w:r>
      <w:r>
        <w:rPr>
          <w:rFonts w:eastAsia="Times New Roman" w:cs="Arial"/>
          <w:b/>
          <w:bCs/>
          <w:lang w:eastAsia="pt-BR"/>
        </w:rPr>
        <w:t>-</w:t>
      </w:r>
      <w:r w:rsidRPr="006F2335">
        <w:rPr>
          <w:rFonts w:eastAsia="Times New Roman" w:cs="Arial"/>
          <w:b/>
          <w:bCs/>
          <w:lang w:eastAsia="pt-BR"/>
        </w:rPr>
        <w:t xml:space="preserve"> Origem e destinação dos recursos provenientes de alienação de ativos</w:t>
      </w:r>
      <w:r w:rsidRPr="006F2335">
        <w:rPr>
          <w:rFonts w:eastAsia="Times New Roman" w:cs="Arial"/>
          <w:lang w:eastAsia="pt-BR"/>
        </w:rPr>
        <w:t>:  em cumprimento ao disposto no art. 50, VI da Lei Complementar nº 101/2000, demonstra-se a seguir a origem e o destinado dos recursos provenientes de alienação de ativos ocorrida no exercício, tendo em vista tratar-se de recursos vinculados, nos termos do art. 44 da referida Lei Complementar.</w:t>
      </w:r>
    </w:p>
    <w:p w14:paraId="7D195E8E" w14:textId="77777777" w:rsidR="002F0DF3" w:rsidRPr="006F2335" w:rsidRDefault="002F0DF3" w:rsidP="002F0DF3">
      <w:pPr>
        <w:spacing w:after="0" w:line="240" w:lineRule="auto"/>
        <w:jc w:val="both"/>
        <w:rPr>
          <w:rFonts w:eastAsia="Times New Roman" w:cs="Arial"/>
          <w:lang w:eastAsia="pt-BR"/>
        </w:rPr>
      </w:pP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3"/>
        <w:gridCol w:w="1417"/>
      </w:tblGrid>
      <w:tr w:rsidR="002F0DF3" w:rsidRPr="006F2335" w14:paraId="24345C37" w14:textId="77777777" w:rsidTr="00CA24BF">
        <w:trPr>
          <w:trHeight w:val="20"/>
          <w:jc w:val="center"/>
        </w:trPr>
        <w:tc>
          <w:tcPr>
            <w:tcW w:w="8930" w:type="dxa"/>
            <w:gridSpan w:val="2"/>
          </w:tcPr>
          <w:p w14:paraId="514D7954" w14:textId="77777777" w:rsidR="002F0DF3" w:rsidRPr="006F2335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lang w:eastAsia="zh-CN"/>
              </w:rPr>
            </w:pPr>
            <w:r w:rsidRPr="006F2335">
              <w:rPr>
                <w:rFonts w:eastAsia="Times New Roman" w:cs="Arial"/>
                <w:b/>
                <w:bCs/>
                <w:lang w:eastAsia="zh-CN"/>
              </w:rPr>
              <w:t>ORIGENS E APLICAÇÕES DOS RECURSOS DE ALIENAÇÃO DE ATIVOS</w:t>
            </w:r>
          </w:p>
        </w:tc>
      </w:tr>
      <w:tr w:rsidR="002F0DF3" w:rsidRPr="006F2335" w14:paraId="360515A4" w14:textId="77777777" w:rsidTr="00CA24BF">
        <w:trPr>
          <w:trHeight w:val="398"/>
          <w:jc w:val="center"/>
        </w:trPr>
        <w:tc>
          <w:tcPr>
            <w:tcW w:w="7513" w:type="dxa"/>
          </w:tcPr>
          <w:p w14:paraId="07C27583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Alienação de Bens Móveis</w:t>
            </w:r>
          </w:p>
        </w:tc>
        <w:tc>
          <w:tcPr>
            <w:tcW w:w="1417" w:type="dxa"/>
            <w:vAlign w:val="center"/>
          </w:tcPr>
          <w:p w14:paraId="4A22D9A9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600.319,69 </w:t>
            </w:r>
          </w:p>
        </w:tc>
      </w:tr>
      <w:tr w:rsidR="002F0DF3" w:rsidRPr="006F2335" w14:paraId="4BAE4B4A" w14:textId="77777777" w:rsidTr="00CA24BF">
        <w:trPr>
          <w:trHeight w:val="20"/>
          <w:jc w:val="center"/>
        </w:trPr>
        <w:tc>
          <w:tcPr>
            <w:tcW w:w="7513" w:type="dxa"/>
          </w:tcPr>
          <w:p w14:paraId="7C1C07F8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Alienação de Bens Imóveis</w:t>
            </w:r>
          </w:p>
        </w:tc>
        <w:tc>
          <w:tcPr>
            <w:tcW w:w="1417" w:type="dxa"/>
            <w:vAlign w:val="center"/>
          </w:tcPr>
          <w:p w14:paraId="5A6ABBAA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366.000,00 </w:t>
            </w:r>
          </w:p>
        </w:tc>
      </w:tr>
      <w:tr w:rsidR="002F0DF3" w:rsidRPr="006F2335" w14:paraId="034B6830" w14:textId="77777777" w:rsidTr="00CA24BF">
        <w:trPr>
          <w:trHeight w:val="20"/>
          <w:jc w:val="center"/>
        </w:trPr>
        <w:tc>
          <w:tcPr>
            <w:tcW w:w="7513" w:type="dxa"/>
          </w:tcPr>
          <w:p w14:paraId="788B2A40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Rendimento de Aplicações Financeira de Alienação de Bens</w:t>
            </w:r>
          </w:p>
        </w:tc>
        <w:tc>
          <w:tcPr>
            <w:tcW w:w="1417" w:type="dxa"/>
            <w:vAlign w:val="center"/>
          </w:tcPr>
          <w:p w14:paraId="0DE0C753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  48.386,78 </w:t>
            </w:r>
          </w:p>
        </w:tc>
      </w:tr>
      <w:tr w:rsidR="002F0DF3" w:rsidRPr="006F2335" w14:paraId="7424524F" w14:textId="77777777" w:rsidTr="00CA24BF">
        <w:trPr>
          <w:trHeight w:val="20"/>
          <w:jc w:val="center"/>
        </w:trPr>
        <w:tc>
          <w:tcPr>
            <w:tcW w:w="7513" w:type="dxa"/>
          </w:tcPr>
          <w:p w14:paraId="7EE8B347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b/>
                <w:lang w:eastAsia="zh-CN"/>
              </w:rPr>
            </w:pPr>
            <w:r w:rsidRPr="006F2335">
              <w:rPr>
                <w:rFonts w:eastAsia="Times New Roman" w:cs="Arial"/>
                <w:b/>
                <w:lang w:eastAsia="zh-CN"/>
              </w:rPr>
              <w:t>TOTAL DAS ORIGENS</w:t>
            </w:r>
          </w:p>
        </w:tc>
        <w:tc>
          <w:tcPr>
            <w:tcW w:w="1417" w:type="dxa"/>
            <w:vAlign w:val="center"/>
          </w:tcPr>
          <w:p w14:paraId="4032B3B1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1.014.706,47 </w:t>
            </w:r>
          </w:p>
        </w:tc>
      </w:tr>
      <w:tr w:rsidR="002F0DF3" w:rsidRPr="006F2335" w14:paraId="4DF41E89" w14:textId="77777777" w:rsidTr="00CA24BF">
        <w:trPr>
          <w:trHeight w:val="20"/>
          <w:jc w:val="center"/>
        </w:trPr>
        <w:tc>
          <w:tcPr>
            <w:tcW w:w="8930" w:type="dxa"/>
            <w:gridSpan w:val="2"/>
          </w:tcPr>
          <w:p w14:paraId="307685B4" w14:textId="77777777" w:rsidR="002F0DF3" w:rsidRPr="006F2335" w:rsidRDefault="002F0DF3" w:rsidP="00CA24B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lang w:eastAsia="zh-CN"/>
              </w:rPr>
            </w:pPr>
          </w:p>
        </w:tc>
      </w:tr>
      <w:tr w:rsidR="002F0DF3" w:rsidRPr="006F2335" w14:paraId="3E393958" w14:textId="77777777" w:rsidTr="00CA24BF">
        <w:trPr>
          <w:trHeight w:val="20"/>
          <w:jc w:val="center"/>
        </w:trPr>
        <w:tc>
          <w:tcPr>
            <w:tcW w:w="7513" w:type="dxa"/>
          </w:tcPr>
          <w:p w14:paraId="294446F0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DESPESAS DE CAPITAL</w:t>
            </w:r>
          </w:p>
        </w:tc>
        <w:tc>
          <w:tcPr>
            <w:tcW w:w="1417" w:type="dxa"/>
          </w:tcPr>
          <w:p w14:paraId="3B621E82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</w:p>
        </w:tc>
      </w:tr>
      <w:tr w:rsidR="002F0DF3" w:rsidRPr="006F2335" w14:paraId="72987644" w14:textId="77777777" w:rsidTr="00CA24BF">
        <w:trPr>
          <w:trHeight w:val="20"/>
          <w:jc w:val="center"/>
        </w:trPr>
        <w:tc>
          <w:tcPr>
            <w:tcW w:w="7513" w:type="dxa"/>
          </w:tcPr>
          <w:p w14:paraId="3459AFD3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 Investimentos</w:t>
            </w:r>
          </w:p>
        </w:tc>
        <w:tc>
          <w:tcPr>
            <w:tcW w:w="1417" w:type="dxa"/>
            <w:vAlign w:val="center"/>
          </w:tcPr>
          <w:p w14:paraId="6FBAF6BC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120.073,05 </w:t>
            </w:r>
          </w:p>
        </w:tc>
      </w:tr>
      <w:tr w:rsidR="002F0DF3" w:rsidRPr="006F2335" w14:paraId="5AA8A31D" w14:textId="77777777" w:rsidTr="00CA24BF">
        <w:trPr>
          <w:trHeight w:val="20"/>
          <w:jc w:val="center"/>
        </w:trPr>
        <w:tc>
          <w:tcPr>
            <w:tcW w:w="7513" w:type="dxa"/>
          </w:tcPr>
          <w:p w14:paraId="5DFE052A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 Inversões Financeiras</w:t>
            </w:r>
          </w:p>
        </w:tc>
        <w:tc>
          <w:tcPr>
            <w:tcW w:w="1417" w:type="dxa"/>
            <w:vAlign w:val="center"/>
          </w:tcPr>
          <w:p w14:paraId="7518FCD6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                 -   </w:t>
            </w:r>
          </w:p>
        </w:tc>
      </w:tr>
      <w:tr w:rsidR="002F0DF3" w:rsidRPr="006F2335" w14:paraId="40E4FF51" w14:textId="77777777" w:rsidTr="00CA24BF">
        <w:trPr>
          <w:trHeight w:val="20"/>
          <w:jc w:val="center"/>
        </w:trPr>
        <w:tc>
          <w:tcPr>
            <w:tcW w:w="7513" w:type="dxa"/>
          </w:tcPr>
          <w:p w14:paraId="128675AA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Amortização da Dívida</w:t>
            </w:r>
          </w:p>
        </w:tc>
        <w:tc>
          <w:tcPr>
            <w:tcW w:w="1417" w:type="dxa"/>
            <w:vAlign w:val="center"/>
          </w:tcPr>
          <w:p w14:paraId="4B5CC456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                 -   </w:t>
            </w:r>
          </w:p>
        </w:tc>
      </w:tr>
      <w:tr w:rsidR="002F0DF3" w:rsidRPr="006F2335" w14:paraId="19F0DF8A" w14:textId="77777777" w:rsidTr="00CA24BF">
        <w:trPr>
          <w:trHeight w:val="20"/>
          <w:jc w:val="center"/>
        </w:trPr>
        <w:tc>
          <w:tcPr>
            <w:tcW w:w="7513" w:type="dxa"/>
          </w:tcPr>
          <w:p w14:paraId="2C23ABBB" w14:textId="3500D1AD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DESPESAS CORRENTES DOS REGIMES DE PREVID</w:t>
            </w:r>
            <w:r>
              <w:rPr>
                <w:rFonts w:eastAsia="Times New Roman" w:cs="Arial"/>
                <w:lang w:eastAsia="zh-CN"/>
              </w:rPr>
              <w:t>ÊNCIA</w:t>
            </w:r>
          </w:p>
        </w:tc>
        <w:tc>
          <w:tcPr>
            <w:tcW w:w="1417" w:type="dxa"/>
            <w:vAlign w:val="center"/>
          </w:tcPr>
          <w:p w14:paraId="6F7FEE96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> </w:t>
            </w:r>
          </w:p>
        </w:tc>
      </w:tr>
      <w:tr w:rsidR="002F0DF3" w:rsidRPr="006F2335" w14:paraId="37EC146D" w14:textId="77777777" w:rsidTr="00CA24BF">
        <w:trPr>
          <w:trHeight w:val="20"/>
          <w:jc w:val="center"/>
        </w:trPr>
        <w:tc>
          <w:tcPr>
            <w:tcW w:w="7513" w:type="dxa"/>
          </w:tcPr>
          <w:p w14:paraId="48BC6C1A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Regime Geral de Previdência Social</w:t>
            </w:r>
          </w:p>
        </w:tc>
        <w:tc>
          <w:tcPr>
            <w:tcW w:w="1417" w:type="dxa"/>
            <w:vAlign w:val="center"/>
          </w:tcPr>
          <w:p w14:paraId="7F8BF968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                 -   </w:t>
            </w:r>
          </w:p>
        </w:tc>
      </w:tr>
      <w:tr w:rsidR="002F0DF3" w:rsidRPr="006F2335" w14:paraId="41E835F6" w14:textId="77777777" w:rsidTr="00CA24BF">
        <w:trPr>
          <w:trHeight w:val="20"/>
          <w:jc w:val="center"/>
        </w:trPr>
        <w:tc>
          <w:tcPr>
            <w:tcW w:w="7513" w:type="dxa"/>
          </w:tcPr>
          <w:p w14:paraId="76D866FF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lang w:eastAsia="zh-CN"/>
              </w:rPr>
            </w:pPr>
            <w:r w:rsidRPr="006F2335">
              <w:rPr>
                <w:rFonts w:eastAsia="Times New Roman" w:cs="Arial"/>
                <w:lang w:eastAsia="zh-CN"/>
              </w:rPr>
              <w:t xml:space="preserve">        Regime Próprio dos Servidores Públicos  </w:t>
            </w:r>
          </w:p>
        </w:tc>
        <w:tc>
          <w:tcPr>
            <w:tcW w:w="1417" w:type="dxa"/>
            <w:vAlign w:val="center"/>
          </w:tcPr>
          <w:p w14:paraId="66F436D3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lang w:eastAsia="zh-CN"/>
              </w:rPr>
            </w:pPr>
            <w:r>
              <w:rPr>
                <w:rFonts w:cs="Arial"/>
                <w:color w:val="000000"/>
                <w:lang w:eastAsia="zh-CN"/>
              </w:rPr>
              <w:t xml:space="preserve">                                     -   </w:t>
            </w:r>
          </w:p>
        </w:tc>
      </w:tr>
      <w:tr w:rsidR="002F0DF3" w:rsidRPr="006F2335" w14:paraId="4C55B139" w14:textId="77777777" w:rsidTr="00CA24BF">
        <w:trPr>
          <w:trHeight w:val="20"/>
          <w:jc w:val="center"/>
        </w:trPr>
        <w:tc>
          <w:tcPr>
            <w:tcW w:w="7513" w:type="dxa"/>
          </w:tcPr>
          <w:p w14:paraId="046AFB22" w14:textId="7F90FCA2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b/>
                <w:lang w:eastAsia="zh-CN"/>
              </w:rPr>
            </w:pPr>
            <w:r w:rsidRPr="006F2335">
              <w:rPr>
                <w:rFonts w:eastAsia="Times New Roman" w:cs="Arial"/>
                <w:b/>
                <w:lang w:eastAsia="zh-CN"/>
              </w:rPr>
              <w:t>TOTAL DAS APLICAÇÕES DOS RECURSOS DE ALIENAÇÃO DE ATIVOS</w:t>
            </w:r>
          </w:p>
        </w:tc>
        <w:tc>
          <w:tcPr>
            <w:tcW w:w="1417" w:type="dxa"/>
            <w:vAlign w:val="center"/>
          </w:tcPr>
          <w:p w14:paraId="1730F5E3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b/>
                <w:lang w:eastAsia="zh-CN"/>
              </w:rPr>
            </w:pPr>
            <w:r>
              <w:rPr>
                <w:rFonts w:cs="Arial"/>
                <w:b/>
                <w:bCs/>
                <w:color w:val="000000"/>
                <w:lang w:eastAsia="zh-CN"/>
              </w:rPr>
              <w:t xml:space="preserve">                    120.073,05 </w:t>
            </w:r>
          </w:p>
        </w:tc>
      </w:tr>
      <w:tr w:rsidR="002F0DF3" w:rsidRPr="006F2335" w14:paraId="3344DB6C" w14:textId="77777777" w:rsidTr="00CA24BF">
        <w:trPr>
          <w:trHeight w:val="259"/>
          <w:jc w:val="center"/>
        </w:trPr>
        <w:tc>
          <w:tcPr>
            <w:tcW w:w="7513" w:type="dxa"/>
          </w:tcPr>
          <w:p w14:paraId="0E7CB48C" w14:textId="77777777" w:rsidR="002F0DF3" w:rsidRPr="006F2335" w:rsidRDefault="002F0DF3" w:rsidP="00CA24BF">
            <w:pPr>
              <w:spacing w:after="0" w:line="240" w:lineRule="auto"/>
              <w:rPr>
                <w:rFonts w:eastAsia="Times New Roman" w:cs="Arial"/>
                <w:b/>
                <w:lang w:eastAsia="zh-CN"/>
              </w:rPr>
            </w:pPr>
            <w:r w:rsidRPr="006F2335">
              <w:rPr>
                <w:rFonts w:eastAsia="Times New Roman" w:cs="Arial"/>
                <w:b/>
                <w:lang w:eastAsia="zh-CN"/>
              </w:rPr>
              <w:t>SALDO NÃO APLICADO</w:t>
            </w:r>
          </w:p>
        </w:tc>
        <w:tc>
          <w:tcPr>
            <w:tcW w:w="1417" w:type="dxa"/>
            <w:vAlign w:val="center"/>
          </w:tcPr>
          <w:p w14:paraId="6127145B" w14:textId="77777777" w:rsidR="002F0DF3" w:rsidRPr="006F2335" w:rsidRDefault="002F0DF3" w:rsidP="00CA24BF">
            <w:pPr>
              <w:spacing w:after="0" w:line="240" w:lineRule="auto"/>
              <w:jc w:val="right"/>
              <w:rPr>
                <w:rFonts w:eastAsia="Times New Roman" w:cs="Arial"/>
                <w:b/>
                <w:lang w:eastAsia="zh-CN"/>
              </w:rPr>
            </w:pPr>
            <w:r>
              <w:rPr>
                <w:rFonts w:cs="Arial"/>
                <w:b/>
                <w:bCs/>
                <w:color w:val="000000"/>
                <w:lang w:eastAsia="zh-CN"/>
              </w:rPr>
              <w:t xml:space="preserve">                    894.633,42 </w:t>
            </w:r>
          </w:p>
        </w:tc>
      </w:tr>
    </w:tbl>
    <w:p w14:paraId="73A29B71" w14:textId="77777777" w:rsidR="002F0DF3" w:rsidRPr="006F2335" w:rsidRDefault="002F0DF3" w:rsidP="002F0DF3">
      <w:pPr>
        <w:spacing w:before="120" w:after="120" w:line="276" w:lineRule="auto"/>
        <w:ind w:firstLine="567"/>
        <w:jc w:val="both"/>
        <w:rPr>
          <w:rFonts w:cs="Calibri"/>
          <w:b/>
          <w:sz w:val="24"/>
          <w:szCs w:val="24"/>
        </w:rPr>
      </w:pPr>
    </w:p>
    <w:p w14:paraId="09D2B85F" w14:textId="77777777" w:rsidR="007C6B26" w:rsidRDefault="007C6B26"/>
    <w:sectPr w:rsidR="007C6B26" w:rsidSect="00816988">
      <w:pgSz w:w="11906" w:h="16838"/>
      <w:pgMar w:top="425" w:right="425" w:bottom="25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DF3"/>
    <w:rsid w:val="002F0DF3"/>
    <w:rsid w:val="007C6B26"/>
    <w:rsid w:val="00816988"/>
    <w:rsid w:val="00E0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CFA4"/>
  <w15:chartTrackingRefBased/>
  <w15:docId w15:val="{36BE0F0A-31A2-4EDF-A2B4-067590B6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DF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827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 Guarani das Missões</dc:creator>
  <cp:keywords/>
  <dc:description/>
  <cp:lastModifiedBy>Contabilidade Guarani das Missões</cp:lastModifiedBy>
  <cp:revision>3</cp:revision>
  <dcterms:created xsi:type="dcterms:W3CDTF">2026-03-11T12:40:00Z</dcterms:created>
  <dcterms:modified xsi:type="dcterms:W3CDTF">2026-03-11T12:51:00Z</dcterms:modified>
</cp:coreProperties>
</file>